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Emmaboda kommunfullmäktige</w:t>
      </w:r>
    </w:p>
    <w:p>
      <w:pPr>
        <w:pStyle w:val="Heading1"/>
      </w:pPr>
      <w:r>
        <w:t xml:space="preserve">Öppen budget med medborgardialog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Emmaboda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Medborgarinflytandet i Emmaboda är lågt enligt SKR 2025. Endast 11 % känner till hur budgeten beslutas.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Emmaboda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öppen budgetprocess med minst två medborgardialoger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 plattform för medborgarförslag utvecklas.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budgetunderlag publiceras i lättläst format.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utvärdering presenteras för kommunfullmäktige hösten 2027.</w:t>
      </w:r>
    </w:p>
    <w:p>
      <w:pPr>
        <w:spacing w:before="360"/>
      </w:pPr>
    </w:p>
    <w:p>
      <w:r>
        <w:t xml:space="preserve">Emmaboda,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Emmaboda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2026-07-13T23:50:29.314Z</dcterms:created>
  <dcterms:modified xsi:type="dcterms:W3CDTF">2026-07-13T23:50:29.314Z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